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69536AC" w:rsidR="00A160B2" w:rsidRDefault="00B84A87" w:rsidP="006C3150">
            <w:pPr>
              <w:pStyle w:val="Heading1"/>
              <w:outlineLvl w:val="0"/>
            </w:pPr>
            <w:r>
              <w:t xml:space="preserve">Pension </w:t>
            </w:r>
            <w:r w:rsidR="003007D9">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C898222" w:rsidR="00A160B2" w:rsidRDefault="0024456F" w:rsidP="006C3150">
            <w:pPr>
              <w:pStyle w:val="Infotext"/>
              <w:rPr>
                <w:rFonts w:cs="Arial"/>
              </w:rPr>
            </w:pPr>
            <w:r>
              <w:rPr>
                <w:rFonts w:cs="Arial"/>
              </w:rPr>
              <w:t>3 March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30AE08FC" w14:textId="33697806" w:rsidR="00A160B2" w:rsidRDefault="009A705D" w:rsidP="006C3150">
            <w:pPr>
              <w:pStyle w:val="Infotext"/>
              <w:rPr>
                <w:rFonts w:cs="Arial"/>
              </w:rPr>
            </w:pPr>
            <w:r>
              <w:rPr>
                <w:rFonts w:cs="Arial"/>
              </w:rPr>
              <w:t xml:space="preserve">Government Actuary’s Department </w:t>
            </w:r>
            <w:r w:rsidR="00A426B3">
              <w:rPr>
                <w:rFonts w:cs="Arial"/>
              </w:rPr>
              <w:t xml:space="preserve">(GAD) </w:t>
            </w:r>
            <w:r>
              <w:rPr>
                <w:rFonts w:cs="Arial"/>
              </w:rPr>
              <w:t xml:space="preserve">Section 13 Report on the </w:t>
            </w:r>
            <w:r w:rsidR="00A426B3">
              <w:rPr>
                <w:rFonts w:cs="Arial"/>
              </w:rPr>
              <w:t xml:space="preserve">LGPS </w:t>
            </w:r>
            <w:r>
              <w:rPr>
                <w:rFonts w:cs="Arial"/>
              </w:rPr>
              <w:t xml:space="preserve">2019 Triennial Valuation </w:t>
            </w:r>
          </w:p>
          <w:p w14:paraId="5914456E" w14:textId="30E08729" w:rsidR="009A705D" w:rsidRDefault="009A705D"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4131D3" w:rsidRDefault="00180D94" w:rsidP="006C3150">
            <w:pPr>
              <w:pStyle w:val="Infotext"/>
              <w:rPr>
                <w:bCs/>
              </w:rPr>
            </w:pPr>
            <w:r w:rsidRPr="004131D3">
              <w:rPr>
                <w:bCs/>
              </w:rPr>
              <w:t>No</w:t>
            </w:r>
            <w:r w:rsidR="00A80313" w:rsidRPr="004131D3">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83DC1A2" w14:textId="70818711" w:rsidR="00EA182B" w:rsidRDefault="00EA182B" w:rsidP="00D56DE2">
            <w:pPr>
              <w:rPr>
                <w:sz w:val="28"/>
                <w:szCs w:val="28"/>
              </w:rPr>
            </w:pPr>
            <w:r>
              <w:rPr>
                <w:sz w:val="28"/>
                <w:szCs w:val="28"/>
              </w:rPr>
              <w:t xml:space="preserve">Appendix </w:t>
            </w:r>
            <w:r w:rsidR="00464CE5">
              <w:rPr>
                <w:sz w:val="28"/>
                <w:szCs w:val="28"/>
              </w:rPr>
              <w:t>1</w:t>
            </w:r>
            <w:r>
              <w:rPr>
                <w:sz w:val="28"/>
                <w:szCs w:val="28"/>
              </w:rPr>
              <w:t xml:space="preserve"> – </w:t>
            </w:r>
            <w:r w:rsidR="009A705D">
              <w:rPr>
                <w:sz w:val="28"/>
                <w:szCs w:val="28"/>
              </w:rPr>
              <w:t xml:space="preserve">GAD </w:t>
            </w:r>
            <w:r w:rsidR="00374F94">
              <w:rPr>
                <w:sz w:val="28"/>
                <w:szCs w:val="28"/>
              </w:rPr>
              <w:t xml:space="preserve">Section 13 </w:t>
            </w:r>
            <w:r w:rsidR="009A705D">
              <w:rPr>
                <w:sz w:val="28"/>
                <w:szCs w:val="28"/>
              </w:rPr>
              <w:t xml:space="preserve">Report </w:t>
            </w:r>
          </w:p>
          <w:p w14:paraId="18EE3396" w14:textId="722C37A5" w:rsidR="00374F94" w:rsidRDefault="00374F94" w:rsidP="00D56DE2">
            <w:pPr>
              <w:rPr>
                <w:sz w:val="28"/>
                <w:szCs w:val="28"/>
              </w:rPr>
            </w:pPr>
            <w:r>
              <w:rPr>
                <w:sz w:val="28"/>
                <w:szCs w:val="28"/>
              </w:rPr>
              <w:t>Appendix 2 – Appendices to GAD Section 13 Report</w:t>
            </w:r>
          </w:p>
          <w:p w14:paraId="4C232B02" w14:textId="43B18BD2" w:rsidR="00D56DE2" w:rsidRPr="00E16F4A" w:rsidRDefault="00D56DE2" w:rsidP="00D56DE2">
            <w:pPr>
              <w:rPr>
                <w:sz w:val="28"/>
                <w:szCs w:val="28"/>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6DAD1AD9" w:rsidR="00E2344F" w:rsidRPr="001E6E68" w:rsidRDefault="00CF1C4A" w:rsidP="00E2344F">
            <w:pPr>
              <w:jc w:val="both"/>
              <w:rPr>
                <w:rFonts w:cs="Arial"/>
                <w:szCs w:val="24"/>
              </w:rPr>
            </w:pPr>
            <w:r>
              <w:rPr>
                <w:rFonts w:cs="Arial"/>
                <w:szCs w:val="24"/>
                <w:lang w:eastAsia="en-GB"/>
              </w:rPr>
              <w:t xml:space="preserve">This report </w:t>
            </w:r>
            <w:r w:rsidR="00A426B3">
              <w:rPr>
                <w:rFonts w:cs="Arial"/>
                <w:szCs w:val="24"/>
                <w:lang w:eastAsia="en-GB"/>
              </w:rPr>
              <w:t>summarises the key points in the Government Actuary’s Department Report into the 2019 LGPS Triennial Valuation.</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30F15E43" w14:textId="24EBE401" w:rsidR="00CF1C4A" w:rsidRPr="00CF1C4A" w:rsidRDefault="00E2344F" w:rsidP="00A426B3">
            <w:pPr>
              <w:rPr>
                <w:szCs w:val="24"/>
              </w:rPr>
            </w:pPr>
            <w:r w:rsidRPr="00CF1C4A">
              <w:rPr>
                <w:szCs w:val="24"/>
              </w:rPr>
              <w:t xml:space="preserve">The </w:t>
            </w:r>
            <w:r w:rsidR="003007D9" w:rsidRPr="00CF1C4A">
              <w:rPr>
                <w:szCs w:val="24"/>
              </w:rPr>
              <w:t>Board</w:t>
            </w:r>
            <w:r w:rsidRPr="00CF1C4A">
              <w:rPr>
                <w:szCs w:val="24"/>
              </w:rPr>
              <w:t xml:space="preserve"> is recommended </w:t>
            </w:r>
            <w:r w:rsidR="00922249" w:rsidRPr="00CF1C4A">
              <w:rPr>
                <w:szCs w:val="24"/>
              </w:rPr>
              <w:t xml:space="preserve">to </w:t>
            </w:r>
            <w:r w:rsidR="003007D9" w:rsidRPr="00CF1C4A">
              <w:rPr>
                <w:szCs w:val="24"/>
              </w:rPr>
              <w:t xml:space="preserve">note the report </w:t>
            </w:r>
          </w:p>
          <w:p w14:paraId="714CBDEE" w14:textId="7BF5C4C7" w:rsidR="00A160B2" w:rsidRDefault="00A160B2" w:rsidP="00A426B3">
            <w:r>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78C6AC2" w14:textId="351FCCDC" w:rsidR="00A426B3" w:rsidRDefault="00A426B3" w:rsidP="008306D5">
      <w:pPr>
        <w:numPr>
          <w:ilvl w:val="0"/>
          <w:numId w:val="16"/>
        </w:numPr>
        <w:tabs>
          <w:tab w:val="clear" w:pos="584"/>
        </w:tabs>
        <w:ind w:left="284" w:hanging="284"/>
        <w:jc w:val="both"/>
      </w:pPr>
      <w:bookmarkStart w:id="0" w:name="_Hlk74148209"/>
      <w:r w:rsidRPr="00A426B3">
        <w:t xml:space="preserve">The purpose of Section 13 of the Public Services Pensions Act 2013 was to issues of compliance, consistency, solvency and long term cost efficiency across the range of LGPS Funds. </w:t>
      </w:r>
      <w:r>
        <w:t xml:space="preserve">To do this, it carries out a detailed analysis of each triennial valuation, </w:t>
      </w:r>
      <w:r w:rsidR="00E91D52">
        <w:t xml:space="preserve">with all funds’ valuation calculations being rebased using a set of common assumptions. This provides a measure of </w:t>
      </w:r>
      <w:r w:rsidR="00E91D52">
        <w:lastRenderedPageBreak/>
        <w:t>comparison between different funds whose actuaries use different valuation approaches</w:t>
      </w:r>
      <w:r w:rsidR="00374F94">
        <w:t>,</w:t>
      </w:r>
      <w:r w:rsidR="00E91D52">
        <w:t xml:space="preserve"> methods</w:t>
      </w:r>
      <w:r w:rsidR="00374F94">
        <w:t xml:space="preserve"> or assumptions</w:t>
      </w:r>
      <w:r w:rsidR="00E91D52">
        <w:t xml:space="preserve">. </w:t>
      </w:r>
      <w:r>
        <w:t xml:space="preserve"> </w:t>
      </w:r>
    </w:p>
    <w:p w14:paraId="5684FF6D" w14:textId="77777777" w:rsidR="00A426B3" w:rsidRPr="00A426B3" w:rsidRDefault="00A426B3" w:rsidP="00A426B3">
      <w:pPr>
        <w:ind w:left="284"/>
        <w:jc w:val="both"/>
      </w:pPr>
    </w:p>
    <w:p w14:paraId="2886CFC7" w14:textId="16E5E2A0" w:rsidR="00374F94" w:rsidRDefault="00497308" w:rsidP="008306D5">
      <w:pPr>
        <w:numPr>
          <w:ilvl w:val="0"/>
          <w:numId w:val="16"/>
        </w:numPr>
        <w:tabs>
          <w:tab w:val="clear" w:pos="584"/>
        </w:tabs>
        <w:ind w:left="284" w:hanging="284"/>
        <w:jc w:val="both"/>
      </w:pPr>
      <w:r w:rsidRPr="00374F94">
        <w:t>The</w:t>
      </w:r>
      <w:r w:rsidR="00374F94">
        <w:t xml:space="preserve"> full report is lengthy, and its content quite technical. It is enclosed at Appendix 1, and the various appendices to the Report are included at Appendix 2. </w:t>
      </w:r>
    </w:p>
    <w:p w14:paraId="56DDD29E" w14:textId="77777777" w:rsidR="00374F94" w:rsidRDefault="00374F94" w:rsidP="00374F94">
      <w:pPr>
        <w:pStyle w:val="ListParagraph"/>
      </w:pPr>
    </w:p>
    <w:p w14:paraId="6F4CE0E8" w14:textId="571F7CDD" w:rsidR="00F43D4F" w:rsidRDefault="00374F94" w:rsidP="008306D5">
      <w:pPr>
        <w:numPr>
          <w:ilvl w:val="0"/>
          <w:numId w:val="16"/>
        </w:numPr>
        <w:tabs>
          <w:tab w:val="clear" w:pos="584"/>
        </w:tabs>
        <w:ind w:left="284" w:hanging="284"/>
        <w:jc w:val="both"/>
      </w:pPr>
      <w:r>
        <w:t>The key findings of the Report are as follows</w:t>
      </w:r>
      <w:r w:rsidR="00F43D4F">
        <w:t>:</w:t>
      </w:r>
    </w:p>
    <w:p w14:paraId="3A1AA4E0" w14:textId="53DFBB79" w:rsidR="00F43D4F" w:rsidRPr="00F43D4F" w:rsidRDefault="00F43D4F" w:rsidP="00F43D4F">
      <w:pPr>
        <w:pStyle w:val="ListParagraph"/>
        <w:numPr>
          <w:ilvl w:val="0"/>
          <w:numId w:val="27"/>
        </w:numPr>
        <w:rPr>
          <w:sz w:val="24"/>
          <w:szCs w:val="24"/>
        </w:rPr>
      </w:pPr>
      <w:r w:rsidRPr="00F43D4F">
        <w:rPr>
          <w:sz w:val="24"/>
          <w:szCs w:val="24"/>
        </w:rPr>
        <w:t xml:space="preserve">The overall funding level of the LGPS has improved from the 2016 valuation – this is largely due to the </w:t>
      </w:r>
      <w:r>
        <w:rPr>
          <w:sz w:val="24"/>
          <w:szCs w:val="24"/>
        </w:rPr>
        <w:t>impact of strong investment returns in the period 2016-19.</w:t>
      </w:r>
    </w:p>
    <w:p w14:paraId="4AA69F7B" w14:textId="6A9927AA" w:rsidR="00F43D4F" w:rsidRDefault="00F43D4F" w:rsidP="00F43D4F">
      <w:pPr>
        <w:pStyle w:val="ListParagraph"/>
        <w:numPr>
          <w:ilvl w:val="0"/>
          <w:numId w:val="27"/>
        </w:numPr>
        <w:rPr>
          <w:sz w:val="24"/>
          <w:szCs w:val="24"/>
        </w:rPr>
      </w:pPr>
      <w:r>
        <w:rPr>
          <w:sz w:val="24"/>
          <w:szCs w:val="24"/>
        </w:rPr>
        <w:t xml:space="preserve">The size of funds (assets and liabilities) has increased significantly since 2016, while the budgets of the main employers (local authorities) have not done likewise. This means that should a future fall in funding levels require an increase in employer contributions, this will put a strain on those budgets, increasing the solvency risk to </w:t>
      </w:r>
      <w:r w:rsidR="00C96D0E">
        <w:rPr>
          <w:sz w:val="24"/>
          <w:szCs w:val="24"/>
        </w:rPr>
        <w:t>some funds.</w:t>
      </w:r>
    </w:p>
    <w:p w14:paraId="29EC4D93" w14:textId="40E1C00D" w:rsidR="00F43D4F" w:rsidRDefault="00F43D4F" w:rsidP="00F43D4F">
      <w:pPr>
        <w:pStyle w:val="ListParagraph"/>
        <w:numPr>
          <w:ilvl w:val="0"/>
          <w:numId w:val="27"/>
        </w:numPr>
        <w:rPr>
          <w:sz w:val="24"/>
          <w:szCs w:val="24"/>
        </w:rPr>
      </w:pPr>
      <w:r>
        <w:rPr>
          <w:sz w:val="24"/>
          <w:szCs w:val="24"/>
        </w:rPr>
        <w:t>GAD has raised warning “flags” where solvency and long term cost efficiency considerations have caused them some concern</w:t>
      </w:r>
      <w:r w:rsidR="005D257C">
        <w:rPr>
          <w:sz w:val="24"/>
          <w:szCs w:val="24"/>
        </w:rPr>
        <w:t xml:space="preserve">. These </w:t>
      </w:r>
      <w:r w:rsidR="00C96D0E">
        <w:rPr>
          <w:sz w:val="24"/>
          <w:szCs w:val="24"/>
        </w:rPr>
        <w:t>highlight funds where</w:t>
      </w:r>
      <w:r w:rsidR="005D257C">
        <w:rPr>
          <w:sz w:val="24"/>
          <w:szCs w:val="24"/>
        </w:rPr>
        <w:t xml:space="preserve"> </w:t>
      </w:r>
    </w:p>
    <w:p w14:paraId="7CD8C5BD" w14:textId="783309DD" w:rsidR="00F43D4F" w:rsidRDefault="005D257C" w:rsidP="00F43D4F">
      <w:pPr>
        <w:pStyle w:val="ListParagraph"/>
        <w:numPr>
          <w:ilvl w:val="1"/>
          <w:numId w:val="27"/>
        </w:numPr>
        <w:rPr>
          <w:sz w:val="24"/>
          <w:szCs w:val="24"/>
        </w:rPr>
      </w:pPr>
      <w:r>
        <w:rPr>
          <w:sz w:val="24"/>
          <w:szCs w:val="24"/>
        </w:rPr>
        <w:t>Employer contributions appear too low when considered alongside GAD’s deficit period, required return and return scope. (2 funds)</w:t>
      </w:r>
    </w:p>
    <w:p w14:paraId="21B5EBA1" w14:textId="6B0D4C3F" w:rsidR="005D257C" w:rsidRDefault="005D257C" w:rsidP="00F43D4F">
      <w:pPr>
        <w:pStyle w:val="ListParagraph"/>
        <w:numPr>
          <w:ilvl w:val="1"/>
          <w:numId w:val="27"/>
        </w:numPr>
        <w:rPr>
          <w:sz w:val="24"/>
          <w:szCs w:val="24"/>
        </w:rPr>
      </w:pPr>
      <w:r>
        <w:rPr>
          <w:sz w:val="24"/>
          <w:szCs w:val="24"/>
        </w:rPr>
        <w:t xml:space="preserve">Employer contributions are reducing while the deficit recovery period is extended further (in effect shifting the burden from current to future taxpayers (2 funds) </w:t>
      </w:r>
    </w:p>
    <w:p w14:paraId="296363B8" w14:textId="01D6E97F" w:rsidR="00F43D4F" w:rsidRDefault="005D257C" w:rsidP="00F43D4F">
      <w:pPr>
        <w:pStyle w:val="ListParagraph"/>
        <w:numPr>
          <w:ilvl w:val="0"/>
          <w:numId w:val="27"/>
        </w:numPr>
        <w:rPr>
          <w:sz w:val="24"/>
          <w:szCs w:val="24"/>
        </w:rPr>
      </w:pPr>
      <w:r>
        <w:rPr>
          <w:sz w:val="24"/>
          <w:szCs w:val="24"/>
        </w:rPr>
        <w:t xml:space="preserve">GAD also engaged with two further funds </w:t>
      </w:r>
      <w:r w:rsidR="008054C7">
        <w:rPr>
          <w:sz w:val="24"/>
          <w:szCs w:val="24"/>
        </w:rPr>
        <w:t>– as a result of the engagement and clarification, neither of these funds was “flagged”.</w:t>
      </w:r>
      <w:r w:rsidR="00C96D0E">
        <w:rPr>
          <w:sz w:val="24"/>
          <w:szCs w:val="24"/>
        </w:rPr>
        <w:t xml:space="preserve"> The sic funds are named in the report.</w:t>
      </w:r>
      <w:r w:rsidR="008054C7">
        <w:rPr>
          <w:sz w:val="24"/>
          <w:szCs w:val="24"/>
        </w:rPr>
        <w:t xml:space="preserve"> </w:t>
      </w:r>
    </w:p>
    <w:p w14:paraId="58E80D7D" w14:textId="461AB6B0" w:rsidR="005D257C" w:rsidRDefault="008054C7" w:rsidP="00F43D4F">
      <w:pPr>
        <w:pStyle w:val="ListParagraph"/>
        <w:numPr>
          <w:ilvl w:val="0"/>
          <w:numId w:val="27"/>
        </w:numPr>
        <w:rPr>
          <w:sz w:val="24"/>
          <w:szCs w:val="24"/>
        </w:rPr>
      </w:pPr>
      <w:r>
        <w:rPr>
          <w:sz w:val="24"/>
          <w:szCs w:val="24"/>
        </w:rPr>
        <w:t xml:space="preserve">It should be noted that Harrow was </w:t>
      </w:r>
      <w:r w:rsidRPr="008054C7">
        <w:rPr>
          <w:b/>
          <w:bCs/>
          <w:sz w:val="24"/>
          <w:szCs w:val="24"/>
          <w:u w:val="single"/>
        </w:rPr>
        <w:t xml:space="preserve">not </w:t>
      </w:r>
      <w:r>
        <w:rPr>
          <w:sz w:val="24"/>
          <w:szCs w:val="24"/>
        </w:rPr>
        <w:t>one of the six funds referred to in the above points.</w:t>
      </w:r>
    </w:p>
    <w:p w14:paraId="7519F13A" w14:textId="77777777" w:rsidR="005D257C" w:rsidRPr="00F43D4F" w:rsidRDefault="005D257C" w:rsidP="005D257C">
      <w:pPr>
        <w:pStyle w:val="ListParagraph"/>
        <w:ind w:left="1004"/>
        <w:rPr>
          <w:sz w:val="24"/>
          <w:szCs w:val="24"/>
        </w:rPr>
      </w:pPr>
    </w:p>
    <w:p w14:paraId="62309741" w14:textId="53B8A4C2" w:rsidR="00F43D4F" w:rsidRPr="00F43D4F" w:rsidRDefault="00F43D4F" w:rsidP="008306D5">
      <w:pPr>
        <w:numPr>
          <w:ilvl w:val="0"/>
          <w:numId w:val="16"/>
        </w:numPr>
        <w:tabs>
          <w:tab w:val="clear" w:pos="584"/>
        </w:tabs>
        <w:ind w:left="284" w:hanging="284"/>
        <w:jc w:val="both"/>
      </w:pPr>
      <w:r>
        <w:rPr>
          <w:szCs w:val="24"/>
        </w:rPr>
        <w:t xml:space="preserve">The report contains </w:t>
      </w:r>
      <w:r w:rsidR="008054C7">
        <w:rPr>
          <w:szCs w:val="24"/>
        </w:rPr>
        <w:t>four</w:t>
      </w:r>
      <w:r>
        <w:rPr>
          <w:szCs w:val="24"/>
        </w:rPr>
        <w:t xml:space="preserve"> recommendations, as follows:</w:t>
      </w:r>
    </w:p>
    <w:p w14:paraId="6E3BF3DA" w14:textId="0EF67AF6" w:rsidR="00F43D4F" w:rsidRPr="005D257C" w:rsidRDefault="00F43D4F" w:rsidP="00F43D4F">
      <w:pPr>
        <w:pStyle w:val="ListParagraph"/>
        <w:numPr>
          <w:ilvl w:val="0"/>
          <w:numId w:val="28"/>
        </w:numPr>
        <w:jc w:val="both"/>
        <w:rPr>
          <w:sz w:val="24"/>
          <w:szCs w:val="24"/>
        </w:rPr>
      </w:pPr>
      <w:r w:rsidRPr="005D257C">
        <w:rPr>
          <w:sz w:val="24"/>
          <w:szCs w:val="24"/>
        </w:rPr>
        <w:t>The Scheme Advisory Board should consider the impact of inconsistency on the funds, participating employers and other stakeholders. It should specifically consider whether a consistent approach needs to be adopted for conversions to academies, and for assessing the impact of emerging issues including McCloud.</w:t>
      </w:r>
    </w:p>
    <w:p w14:paraId="58922C2A" w14:textId="6F949914" w:rsidR="00F43D4F" w:rsidRPr="005D257C" w:rsidRDefault="005D257C" w:rsidP="00F43D4F">
      <w:pPr>
        <w:pStyle w:val="ListParagraph"/>
        <w:numPr>
          <w:ilvl w:val="0"/>
          <w:numId w:val="28"/>
        </w:numPr>
        <w:jc w:val="both"/>
        <w:rPr>
          <w:sz w:val="24"/>
          <w:szCs w:val="24"/>
        </w:rPr>
      </w:pPr>
      <w:r w:rsidRPr="005D257C">
        <w:rPr>
          <w:sz w:val="24"/>
          <w:szCs w:val="24"/>
        </w:rPr>
        <w:t>T</w:t>
      </w:r>
      <w:r w:rsidR="00F43D4F" w:rsidRPr="005D257C">
        <w:rPr>
          <w:sz w:val="24"/>
          <w:szCs w:val="24"/>
        </w:rPr>
        <w:t>he Scheme Advisory Board consider how all funds ensure that the deficit recovery plan can be demonstrated to be a continuation of the previous plan, after allowing for actual fund experience.</w:t>
      </w:r>
    </w:p>
    <w:p w14:paraId="381A68E2" w14:textId="7FF89CCA" w:rsidR="00F43D4F" w:rsidRPr="005D257C" w:rsidRDefault="005D257C" w:rsidP="00F43D4F">
      <w:pPr>
        <w:pStyle w:val="ListParagraph"/>
        <w:numPr>
          <w:ilvl w:val="0"/>
          <w:numId w:val="28"/>
        </w:numPr>
        <w:jc w:val="both"/>
        <w:rPr>
          <w:sz w:val="24"/>
          <w:szCs w:val="24"/>
        </w:rPr>
      </w:pPr>
      <w:r w:rsidRPr="005D257C">
        <w:rPr>
          <w:sz w:val="24"/>
          <w:szCs w:val="24"/>
        </w:rPr>
        <w:t>F</w:t>
      </w:r>
      <w:r w:rsidR="00F43D4F" w:rsidRPr="005D257C">
        <w:rPr>
          <w:sz w:val="24"/>
          <w:szCs w:val="24"/>
        </w:rPr>
        <w:t>und actuaries provide additional information about total contributions, discount rates and reconciling deficit recovery plans in the dashboard</w:t>
      </w:r>
    </w:p>
    <w:p w14:paraId="0D220F4C" w14:textId="064081B4" w:rsidR="005D257C" w:rsidRDefault="005D257C" w:rsidP="00F43D4F">
      <w:pPr>
        <w:pStyle w:val="ListParagraph"/>
        <w:numPr>
          <w:ilvl w:val="0"/>
          <w:numId w:val="28"/>
        </w:numPr>
        <w:jc w:val="both"/>
        <w:rPr>
          <w:sz w:val="24"/>
          <w:szCs w:val="24"/>
        </w:rPr>
      </w:pPr>
      <w:r w:rsidRPr="005D257C">
        <w:rPr>
          <w:sz w:val="24"/>
          <w:szCs w:val="24"/>
        </w:rPr>
        <w:t>The Scheme Advisory Board review asset transfer arrangements from local authorities to ensure that appropriate governance is in place around any such transfers to achieve long term cost efficiency</w:t>
      </w:r>
      <w:r w:rsidR="008054C7">
        <w:rPr>
          <w:sz w:val="24"/>
          <w:szCs w:val="24"/>
        </w:rPr>
        <w:t>.</w:t>
      </w:r>
    </w:p>
    <w:p w14:paraId="3E259C65" w14:textId="73BC9A7F" w:rsidR="00F43D4F" w:rsidRPr="00F43D4F" w:rsidRDefault="00F43D4F" w:rsidP="00F43D4F">
      <w:pPr>
        <w:ind w:left="284"/>
        <w:jc w:val="both"/>
      </w:pPr>
    </w:p>
    <w:p w14:paraId="1E2A532A" w14:textId="1BC69D89" w:rsidR="008054C7" w:rsidRPr="008054C7" w:rsidRDefault="008054C7" w:rsidP="008306D5">
      <w:pPr>
        <w:numPr>
          <w:ilvl w:val="0"/>
          <w:numId w:val="16"/>
        </w:numPr>
        <w:tabs>
          <w:tab w:val="clear" w:pos="584"/>
        </w:tabs>
        <w:ind w:left="284" w:hanging="284"/>
        <w:jc w:val="both"/>
      </w:pPr>
      <w:r>
        <w:rPr>
          <w:szCs w:val="24"/>
        </w:rPr>
        <w:t xml:space="preserve">The appendices (Appendix 2 to this report) contain more detailed analysis and explanation. The following are of particular interest, as they provide more “fund specific” detail. </w:t>
      </w:r>
    </w:p>
    <w:p w14:paraId="2D965ABA" w14:textId="40C1F553" w:rsidR="008054C7" w:rsidRDefault="008054C7" w:rsidP="008054C7">
      <w:pPr>
        <w:pStyle w:val="ListParagraph"/>
        <w:numPr>
          <w:ilvl w:val="0"/>
          <w:numId w:val="29"/>
        </w:numPr>
        <w:jc w:val="both"/>
        <w:rPr>
          <w:sz w:val="24"/>
          <w:szCs w:val="24"/>
        </w:rPr>
      </w:pPr>
      <w:r w:rsidRPr="008054C7">
        <w:rPr>
          <w:sz w:val="24"/>
          <w:szCs w:val="24"/>
        </w:rPr>
        <w:lastRenderedPageBreak/>
        <w:t xml:space="preserve">Chart B1 – this compares the </w:t>
      </w:r>
      <w:r>
        <w:rPr>
          <w:sz w:val="24"/>
          <w:szCs w:val="24"/>
        </w:rPr>
        <w:t>“ranking” of Funds’ funding levels on a local basis (i.e. their own actuary’s valuation report) and on a standardised (GAD) basis. For LBH the position is</w:t>
      </w:r>
    </w:p>
    <w:p w14:paraId="6BED4345" w14:textId="7DAF0FFB" w:rsidR="008054C7" w:rsidRDefault="008054C7" w:rsidP="008054C7">
      <w:pPr>
        <w:pStyle w:val="ListParagraph"/>
        <w:numPr>
          <w:ilvl w:val="1"/>
          <w:numId w:val="29"/>
        </w:numPr>
        <w:jc w:val="both"/>
        <w:rPr>
          <w:sz w:val="24"/>
          <w:szCs w:val="24"/>
        </w:rPr>
      </w:pPr>
      <w:r>
        <w:rPr>
          <w:sz w:val="24"/>
          <w:szCs w:val="24"/>
        </w:rPr>
        <w:t>Local basis 94% (50</w:t>
      </w:r>
      <w:r w:rsidRPr="008054C7">
        <w:rPr>
          <w:sz w:val="24"/>
          <w:szCs w:val="24"/>
          <w:vertAlign w:val="superscript"/>
        </w:rPr>
        <w:t>th</w:t>
      </w:r>
      <w:r>
        <w:rPr>
          <w:sz w:val="24"/>
          <w:szCs w:val="24"/>
        </w:rPr>
        <w:t xml:space="preserve"> of 88)</w:t>
      </w:r>
    </w:p>
    <w:p w14:paraId="65EBE977" w14:textId="78159406" w:rsidR="008054C7" w:rsidRDefault="008054C7" w:rsidP="008054C7">
      <w:pPr>
        <w:pStyle w:val="ListParagraph"/>
        <w:numPr>
          <w:ilvl w:val="1"/>
          <w:numId w:val="29"/>
        </w:numPr>
        <w:jc w:val="both"/>
        <w:rPr>
          <w:sz w:val="24"/>
          <w:szCs w:val="24"/>
        </w:rPr>
      </w:pPr>
      <w:r>
        <w:rPr>
          <w:sz w:val="24"/>
          <w:szCs w:val="24"/>
        </w:rPr>
        <w:t>GAD basis 10</w:t>
      </w:r>
      <w:r w:rsidR="00433DF0">
        <w:rPr>
          <w:sz w:val="24"/>
          <w:szCs w:val="24"/>
        </w:rPr>
        <w:t>1</w:t>
      </w:r>
      <w:r>
        <w:rPr>
          <w:sz w:val="24"/>
          <w:szCs w:val="24"/>
        </w:rPr>
        <w:t>% (65</w:t>
      </w:r>
      <w:r w:rsidRPr="008054C7">
        <w:rPr>
          <w:sz w:val="24"/>
          <w:szCs w:val="24"/>
          <w:vertAlign w:val="superscript"/>
        </w:rPr>
        <w:t>th</w:t>
      </w:r>
      <w:r>
        <w:rPr>
          <w:sz w:val="24"/>
          <w:szCs w:val="24"/>
        </w:rPr>
        <w:t xml:space="preserve"> of 88)</w:t>
      </w:r>
    </w:p>
    <w:p w14:paraId="0729476D" w14:textId="2CF089D0" w:rsidR="008054C7" w:rsidRDefault="00433DF0" w:rsidP="008054C7">
      <w:pPr>
        <w:ind w:left="720"/>
        <w:jc w:val="both"/>
        <w:rPr>
          <w:szCs w:val="24"/>
        </w:rPr>
      </w:pPr>
      <w:r>
        <w:rPr>
          <w:szCs w:val="24"/>
        </w:rPr>
        <w:t>The table highlights that many funds have very similar funding levels. There are 20 funds whose local funding level is between 92 and 96%, and 16 whose standard (GAD) funding level are between 99% and 103%.</w:t>
      </w:r>
    </w:p>
    <w:p w14:paraId="22E3AAC9" w14:textId="4CAB80D2" w:rsidR="00433DF0" w:rsidRDefault="00433DF0" w:rsidP="008054C7">
      <w:pPr>
        <w:ind w:left="720"/>
        <w:jc w:val="both"/>
        <w:rPr>
          <w:szCs w:val="24"/>
        </w:rPr>
      </w:pPr>
      <w:r>
        <w:rPr>
          <w:szCs w:val="24"/>
        </w:rPr>
        <w:t xml:space="preserve">The </w:t>
      </w:r>
      <w:r w:rsidR="00C96D0E">
        <w:rPr>
          <w:szCs w:val="24"/>
        </w:rPr>
        <w:t>table also shows that, using a “local assumptions” basis</w:t>
      </w:r>
      <w:r>
        <w:rPr>
          <w:szCs w:val="24"/>
        </w:rPr>
        <w:t xml:space="preserve">, the best funded has a funding level of 125%, while the worst funded of the open schemes (there is one closed scheme – the Environment Agency) is at 70%. </w:t>
      </w:r>
      <w:r w:rsidR="00C96D0E">
        <w:rPr>
          <w:szCs w:val="24"/>
        </w:rPr>
        <w:t>Using standard</w:t>
      </w:r>
      <w:r>
        <w:rPr>
          <w:szCs w:val="24"/>
        </w:rPr>
        <w:t xml:space="preserve"> GAD </w:t>
      </w:r>
      <w:r w:rsidR="00C96D0E">
        <w:rPr>
          <w:szCs w:val="24"/>
        </w:rPr>
        <w:t>assumptions</w:t>
      </w:r>
      <w:r>
        <w:rPr>
          <w:szCs w:val="24"/>
        </w:rPr>
        <w:t xml:space="preserve">, the best funded is at 147%, and the worst at 81%. </w:t>
      </w:r>
    </w:p>
    <w:p w14:paraId="6A79DA85" w14:textId="77777777" w:rsidR="00C96D0E" w:rsidRPr="008054C7" w:rsidRDefault="00C96D0E" w:rsidP="00C96D0E">
      <w:pPr>
        <w:jc w:val="both"/>
        <w:rPr>
          <w:szCs w:val="24"/>
        </w:rPr>
      </w:pPr>
    </w:p>
    <w:p w14:paraId="2434FADA" w14:textId="089D6C9A" w:rsidR="008054C7" w:rsidRDefault="00E44C8E" w:rsidP="008054C7">
      <w:pPr>
        <w:pStyle w:val="ListParagraph"/>
        <w:numPr>
          <w:ilvl w:val="0"/>
          <w:numId w:val="29"/>
        </w:numPr>
        <w:jc w:val="both"/>
        <w:rPr>
          <w:sz w:val="24"/>
          <w:szCs w:val="24"/>
        </w:rPr>
      </w:pPr>
      <w:r>
        <w:rPr>
          <w:sz w:val="24"/>
          <w:szCs w:val="24"/>
        </w:rPr>
        <w:t xml:space="preserve">Chart B3 </w:t>
      </w:r>
      <w:r w:rsidR="00433DF0">
        <w:rPr>
          <w:sz w:val="24"/>
          <w:szCs w:val="24"/>
        </w:rPr>
        <w:t>The discount rates used by actuaries in respect of past service liabilities in the local valuations for the open funds vary between 3.5% and 5.4%. the rate used for Harrow was 4.6%.</w:t>
      </w:r>
    </w:p>
    <w:p w14:paraId="1A5BFA82" w14:textId="77777777" w:rsidR="00E44C8E" w:rsidRDefault="00E44C8E" w:rsidP="00E44C8E">
      <w:pPr>
        <w:pStyle w:val="ListParagraph"/>
        <w:ind w:left="1004"/>
        <w:jc w:val="both"/>
        <w:rPr>
          <w:sz w:val="24"/>
          <w:szCs w:val="24"/>
        </w:rPr>
      </w:pPr>
    </w:p>
    <w:p w14:paraId="05489930" w14:textId="454E34F4" w:rsidR="00E44C8E" w:rsidRDefault="00E44C8E" w:rsidP="008306D5">
      <w:pPr>
        <w:numPr>
          <w:ilvl w:val="0"/>
          <w:numId w:val="16"/>
        </w:numPr>
        <w:tabs>
          <w:tab w:val="clear" w:pos="584"/>
        </w:tabs>
        <w:ind w:left="284" w:hanging="284"/>
        <w:jc w:val="both"/>
      </w:pPr>
      <w:r>
        <w:t>The Fund’s actuary, Hymans Robertson, a</w:t>
      </w:r>
      <w:r w:rsidR="00C96D0E">
        <w:t>r</w:t>
      </w:r>
      <w:r>
        <w:t>e reviewing the report, and they will take into account as necessary those aspects which affect the  approach to the forthcoming 2022 valuation.</w:t>
      </w:r>
    </w:p>
    <w:bookmarkEnd w:id="0"/>
    <w:p w14:paraId="3469E0D9" w14:textId="621B169D" w:rsidR="00213BE7" w:rsidRDefault="00213BE7" w:rsidP="00213BE7">
      <w:pPr>
        <w:pStyle w:val="Heading2"/>
      </w:pPr>
      <w:r w:rsidRPr="00182849">
        <w:t>Legal Implications</w:t>
      </w:r>
    </w:p>
    <w:p w14:paraId="443F8251" w14:textId="53772BE0" w:rsidR="00180D94" w:rsidRDefault="00180D94" w:rsidP="00180D94"/>
    <w:p w14:paraId="75D7E075" w14:textId="7148EE21" w:rsid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w:t>
      </w:r>
    </w:p>
    <w:p w14:paraId="15E462CC" w14:textId="77777777" w:rsidR="00EA182B" w:rsidRDefault="00EA182B" w:rsidP="00EA182B">
      <w:pPr>
        <w:pStyle w:val="ListParagraph"/>
        <w:ind w:left="584"/>
        <w:rPr>
          <w:sz w:val="24"/>
          <w:szCs w:val="24"/>
        </w:rPr>
      </w:pPr>
    </w:p>
    <w:p w14:paraId="20FEFD52" w14:textId="51F13DF9" w:rsidR="00EA182B" w:rsidRPr="00EA182B" w:rsidRDefault="00EA182B" w:rsidP="00A80313">
      <w:pPr>
        <w:pStyle w:val="ListParagraph"/>
        <w:numPr>
          <w:ilvl w:val="0"/>
          <w:numId w:val="16"/>
        </w:numPr>
        <w:rPr>
          <w:sz w:val="24"/>
          <w:szCs w:val="24"/>
        </w:rPr>
      </w:pPr>
      <w:r w:rsidRPr="00EA182B">
        <w:rPr>
          <w:sz w:val="24"/>
          <w:szCs w:val="24"/>
        </w:rPr>
        <w:t>The terms of reference for the Board include assisting the Administering Authority (London Borough of Harrow) as Scheme Manager in ensuring the effective and efficient governance and administration of the Local Government Pension Scheme</w:t>
      </w:r>
      <w:r>
        <w:rPr>
          <w:sz w:val="24"/>
          <w:szCs w:val="24"/>
        </w:rPr>
        <w: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18D669B7"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w:t>
      </w:r>
      <w:r w:rsidR="00310B8D">
        <w:t xml:space="preserve">Pension Fund </w:t>
      </w:r>
      <w:r w:rsidRPr="00690F76">
        <w:t xml:space="preserve">Committee and by the </w:t>
      </w:r>
      <w:r w:rsidR="00310B8D">
        <w:t>B</w:t>
      </w:r>
      <w:r w:rsidRPr="00690F76">
        <w:t xml:space="preserve">oard. </w:t>
      </w:r>
      <w:r>
        <w:t xml:space="preserve">The </w:t>
      </w:r>
      <w:r w:rsidR="00310B8D">
        <w:t>next</w:t>
      </w:r>
      <w:r>
        <w:t xml:space="preserve"> review </w:t>
      </w:r>
      <w:r w:rsidR="00EA182B">
        <w:t>is elsewhere on the agenda for this meeting.</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lastRenderedPageBreak/>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310B8D">
      <w:pPr>
        <w:autoSpaceDE w:val="0"/>
        <w:autoSpaceDN w:val="0"/>
        <w:adjustRightInd w:val="0"/>
        <w:spacing w:after="24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3EC96163" w:rsidR="00FD31A0" w:rsidRPr="004A2543" w:rsidRDefault="00180D94" w:rsidP="00310B8D">
      <w:pPr>
        <w:numPr>
          <w:ilvl w:val="0"/>
          <w:numId w:val="16"/>
        </w:numPr>
        <w:autoSpaceDE w:val="0"/>
        <w:autoSpaceDN w:val="0"/>
        <w:adjustRightInd w:val="0"/>
        <w:spacing w:after="240"/>
        <w:ind w:left="426" w:hanging="426"/>
      </w:pPr>
      <w:r w:rsidRPr="00310B8D">
        <w:rPr>
          <w:szCs w:val="24"/>
          <w:lang w:val="en-US"/>
        </w:rPr>
        <w:t>The performance of the Pension Fund directly affects the level of employer contribution which then, in turn, affects the resources available for the Council’s priorities</w:t>
      </w:r>
      <w:r w:rsidR="00F22AA0" w:rsidRPr="00310B8D">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6222144" w:rsidR="00912904" w:rsidRPr="00A66326" w:rsidRDefault="00912904" w:rsidP="00912904">
      <w:pPr>
        <w:rPr>
          <w:sz w:val="28"/>
        </w:rPr>
      </w:pPr>
      <w:r w:rsidRPr="00A66326">
        <w:rPr>
          <w:b/>
          <w:sz w:val="28"/>
        </w:rPr>
        <w:t xml:space="preserve">Statutory Officer:  </w:t>
      </w:r>
      <w:r w:rsidR="008263D1">
        <w:rPr>
          <w:b/>
          <w:sz w:val="28"/>
        </w:rPr>
        <w:t>Dawn Calvert</w:t>
      </w:r>
    </w:p>
    <w:p w14:paraId="57640BD9" w14:textId="64851CBC" w:rsidR="00912904" w:rsidRDefault="00912904" w:rsidP="00310B8D">
      <w:pPr>
        <w:spacing w:after="240"/>
      </w:pPr>
      <w:r w:rsidRPr="00A66326">
        <w:t>Signed by the Chief Financial Officer</w:t>
      </w:r>
    </w:p>
    <w:p w14:paraId="2EE69B4F" w14:textId="17A124F7" w:rsidR="000B3094" w:rsidRPr="000B3094" w:rsidRDefault="00912904" w:rsidP="00912904">
      <w:pPr>
        <w:spacing w:after="480"/>
        <w:rPr>
          <w:b/>
          <w:sz w:val="28"/>
        </w:rPr>
      </w:pPr>
      <w:r w:rsidRPr="00A66326">
        <w:rPr>
          <w:b/>
          <w:sz w:val="28"/>
        </w:rPr>
        <w:t xml:space="preserve">Date:  </w:t>
      </w:r>
      <w:r w:rsidR="000B3094">
        <w:rPr>
          <w:b/>
          <w:sz w:val="28"/>
        </w:rPr>
        <w:t>22/02/2022</w:t>
      </w:r>
    </w:p>
    <w:p w14:paraId="2586CC50" w14:textId="5483EFD1" w:rsidR="00912904" w:rsidRPr="00A66326" w:rsidRDefault="00912904" w:rsidP="00912904">
      <w:pPr>
        <w:rPr>
          <w:sz w:val="28"/>
        </w:rPr>
      </w:pPr>
      <w:r w:rsidRPr="00A66326">
        <w:rPr>
          <w:b/>
          <w:sz w:val="28"/>
        </w:rPr>
        <w:t xml:space="preserve">Statutory Officer:  </w:t>
      </w:r>
      <w:r w:rsidR="00C96D0E">
        <w:rPr>
          <w:b/>
          <w:sz w:val="28"/>
        </w:rPr>
        <w:t>Sharon Clarke</w:t>
      </w:r>
    </w:p>
    <w:p w14:paraId="3F58D77A" w14:textId="60ABC8E9" w:rsidR="00912904" w:rsidRPr="00A66326" w:rsidRDefault="00912904" w:rsidP="00310B8D">
      <w:pPr>
        <w:spacing w:after="240"/>
      </w:pPr>
      <w:r w:rsidRPr="00A66326">
        <w:t>Signed on behalf of the Monitoring Officer</w:t>
      </w:r>
    </w:p>
    <w:p w14:paraId="61F8C7E6" w14:textId="778D12DF" w:rsidR="00912904" w:rsidRPr="003313EA" w:rsidRDefault="00912904" w:rsidP="00912904">
      <w:pPr>
        <w:spacing w:after="480"/>
        <w:rPr>
          <w:sz w:val="28"/>
        </w:rPr>
      </w:pPr>
      <w:r w:rsidRPr="00A66326">
        <w:rPr>
          <w:b/>
          <w:sz w:val="28"/>
        </w:rPr>
        <w:t xml:space="preserve">Date:  </w:t>
      </w:r>
      <w:r w:rsidR="00C96D0E">
        <w:rPr>
          <w:b/>
          <w:sz w:val="28"/>
        </w:rPr>
        <w:t>09/02/2022</w:t>
      </w:r>
    </w:p>
    <w:p w14:paraId="2019A53D" w14:textId="351BD28C"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C96D0E">
        <w:rPr>
          <w:b/>
          <w:sz w:val="28"/>
        </w:rPr>
        <w:t>Charlie Stewart</w:t>
      </w:r>
    </w:p>
    <w:p w14:paraId="12E4D11B" w14:textId="1C13C36B" w:rsidR="00912904" w:rsidRPr="00A66326" w:rsidRDefault="00365D29" w:rsidP="00310B8D">
      <w:pPr>
        <w:spacing w:after="240"/>
      </w:pPr>
      <w:r>
        <w:t>Signed</w:t>
      </w:r>
      <w:r w:rsidR="00912904" w:rsidRPr="00A66326">
        <w:t xml:space="preserve"> </w:t>
      </w:r>
      <w:r w:rsidR="00E117CE">
        <w:t xml:space="preserve">by </w:t>
      </w:r>
      <w:r w:rsidR="00912904" w:rsidRPr="00A66326">
        <w:t>the Corporate Director</w:t>
      </w:r>
    </w:p>
    <w:p w14:paraId="21482980" w14:textId="546294F7" w:rsidR="00912904" w:rsidRPr="00A66326" w:rsidRDefault="00912904" w:rsidP="00960BF7">
      <w:pPr>
        <w:tabs>
          <w:tab w:val="left" w:pos="2040"/>
        </w:tabs>
        <w:spacing w:after="480"/>
        <w:rPr>
          <w:sz w:val="28"/>
        </w:rPr>
      </w:pPr>
      <w:r w:rsidRPr="00A66326">
        <w:rPr>
          <w:b/>
          <w:sz w:val="28"/>
        </w:rPr>
        <w:t xml:space="preserve">Date:  </w:t>
      </w:r>
      <w:r w:rsidR="00C96D0E">
        <w:rPr>
          <w:b/>
          <w:sz w:val="28"/>
        </w:rPr>
        <w:t>11/02/2022</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310B8D">
      <w:pPr>
        <w:pStyle w:val="Heading3"/>
        <w:spacing w:after="240"/>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90517"/>
    <w:multiLevelType w:val="hybridMultilevel"/>
    <w:tmpl w:val="E130A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F75886"/>
    <w:multiLevelType w:val="hybridMultilevel"/>
    <w:tmpl w:val="8504519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4328212B"/>
    <w:multiLevelType w:val="hybridMultilevel"/>
    <w:tmpl w:val="734CAA6A"/>
    <w:lvl w:ilvl="0" w:tplc="EC9EE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204CA"/>
    <w:multiLevelType w:val="hybridMultilevel"/>
    <w:tmpl w:val="F416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5968"/>
    <w:multiLevelType w:val="hybridMultilevel"/>
    <w:tmpl w:val="8B385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271B6"/>
    <w:multiLevelType w:val="hybridMultilevel"/>
    <w:tmpl w:val="619042A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64C4A"/>
    <w:multiLevelType w:val="hybridMultilevel"/>
    <w:tmpl w:val="CCBE1DE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6"/>
  </w:num>
  <w:num w:numId="9">
    <w:abstractNumId w:val="3"/>
  </w:num>
  <w:num w:numId="10">
    <w:abstractNumId w:val="18"/>
  </w:num>
  <w:num w:numId="11">
    <w:abstractNumId w:val="27"/>
  </w:num>
  <w:num w:numId="12">
    <w:abstractNumId w:val="16"/>
  </w:num>
  <w:num w:numId="13">
    <w:abstractNumId w:val="2"/>
  </w:num>
  <w:num w:numId="14">
    <w:abstractNumId w:val="7"/>
  </w:num>
  <w:num w:numId="15">
    <w:abstractNumId w:val="14"/>
  </w:num>
  <w:num w:numId="16">
    <w:abstractNumId w:val="4"/>
  </w:num>
  <w:num w:numId="17">
    <w:abstractNumId w:val="8"/>
  </w:num>
  <w:num w:numId="18">
    <w:abstractNumId w:val="23"/>
  </w:num>
  <w:num w:numId="19">
    <w:abstractNumId w:val="0"/>
  </w:num>
  <w:num w:numId="20">
    <w:abstractNumId w:val="19"/>
  </w:num>
  <w:num w:numId="21">
    <w:abstractNumId w:val="25"/>
  </w:num>
  <w:num w:numId="22">
    <w:abstractNumId w:val="11"/>
  </w:num>
  <w:num w:numId="23">
    <w:abstractNumId w:val="17"/>
  </w:num>
  <w:num w:numId="24">
    <w:abstractNumId w:val="13"/>
  </w:num>
  <w:num w:numId="25">
    <w:abstractNumId w:val="21"/>
  </w:num>
  <w:num w:numId="26">
    <w:abstractNumId w:val="5"/>
  </w:num>
  <w:num w:numId="27">
    <w:abstractNumId w:val="26"/>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6FF4"/>
    <w:rsid w:val="00057F10"/>
    <w:rsid w:val="000633A2"/>
    <w:rsid w:val="00071EB4"/>
    <w:rsid w:val="00077298"/>
    <w:rsid w:val="000967C9"/>
    <w:rsid w:val="000A58A1"/>
    <w:rsid w:val="000A6659"/>
    <w:rsid w:val="000B0E6F"/>
    <w:rsid w:val="000B3094"/>
    <w:rsid w:val="000B6DBB"/>
    <w:rsid w:val="000D2BF2"/>
    <w:rsid w:val="000D5870"/>
    <w:rsid w:val="000F65C0"/>
    <w:rsid w:val="00134D55"/>
    <w:rsid w:val="00180D94"/>
    <w:rsid w:val="00182849"/>
    <w:rsid w:val="001939BA"/>
    <w:rsid w:val="001A6EB0"/>
    <w:rsid w:val="001B1046"/>
    <w:rsid w:val="001B3228"/>
    <w:rsid w:val="001B441D"/>
    <w:rsid w:val="001C449F"/>
    <w:rsid w:val="001C5225"/>
    <w:rsid w:val="001E0219"/>
    <w:rsid w:val="00213BE7"/>
    <w:rsid w:val="00231A1D"/>
    <w:rsid w:val="00244120"/>
    <w:rsid w:val="0024456F"/>
    <w:rsid w:val="00293F9F"/>
    <w:rsid w:val="002A2389"/>
    <w:rsid w:val="002B62F0"/>
    <w:rsid w:val="002C08E2"/>
    <w:rsid w:val="002C1794"/>
    <w:rsid w:val="002D2FC5"/>
    <w:rsid w:val="002E6637"/>
    <w:rsid w:val="002E77E3"/>
    <w:rsid w:val="002F0E81"/>
    <w:rsid w:val="003007D9"/>
    <w:rsid w:val="00310B8D"/>
    <w:rsid w:val="00332947"/>
    <w:rsid w:val="00333EB4"/>
    <w:rsid w:val="00345915"/>
    <w:rsid w:val="00361BBB"/>
    <w:rsid w:val="00365C6B"/>
    <w:rsid w:val="00365D29"/>
    <w:rsid w:val="00374F22"/>
    <w:rsid w:val="00374F94"/>
    <w:rsid w:val="00385716"/>
    <w:rsid w:val="003D2FFE"/>
    <w:rsid w:val="003D5F0A"/>
    <w:rsid w:val="003D73DF"/>
    <w:rsid w:val="00400032"/>
    <w:rsid w:val="004131D3"/>
    <w:rsid w:val="0042394B"/>
    <w:rsid w:val="00433DF0"/>
    <w:rsid w:val="00464CE5"/>
    <w:rsid w:val="00473B08"/>
    <w:rsid w:val="00474B5F"/>
    <w:rsid w:val="004767DB"/>
    <w:rsid w:val="00497308"/>
    <w:rsid w:val="004A3CE6"/>
    <w:rsid w:val="004A4A1D"/>
    <w:rsid w:val="004B2C9D"/>
    <w:rsid w:val="004B4A47"/>
    <w:rsid w:val="004E667D"/>
    <w:rsid w:val="004E6AF9"/>
    <w:rsid w:val="005031DF"/>
    <w:rsid w:val="00534BAA"/>
    <w:rsid w:val="00597314"/>
    <w:rsid w:val="005A61AF"/>
    <w:rsid w:val="005D0886"/>
    <w:rsid w:val="005D257C"/>
    <w:rsid w:val="005E384D"/>
    <w:rsid w:val="005E6176"/>
    <w:rsid w:val="005F2181"/>
    <w:rsid w:val="005F61BC"/>
    <w:rsid w:val="005F724B"/>
    <w:rsid w:val="00606705"/>
    <w:rsid w:val="00621EA4"/>
    <w:rsid w:val="00625DFF"/>
    <w:rsid w:val="0063072B"/>
    <w:rsid w:val="00662891"/>
    <w:rsid w:val="006628B7"/>
    <w:rsid w:val="006667A6"/>
    <w:rsid w:val="00675FCB"/>
    <w:rsid w:val="006A0B87"/>
    <w:rsid w:val="006B3942"/>
    <w:rsid w:val="006B7DC6"/>
    <w:rsid w:val="006C3914"/>
    <w:rsid w:val="006C4D4C"/>
    <w:rsid w:val="006D3648"/>
    <w:rsid w:val="006D6B23"/>
    <w:rsid w:val="006F6D50"/>
    <w:rsid w:val="00702F85"/>
    <w:rsid w:val="00717E8A"/>
    <w:rsid w:val="0074184E"/>
    <w:rsid w:val="00743829"/>
    <w:rsid w:val="00755F8D"/>
    <w:rsid w:val="007808A7"/>
    <w:rsid w:val="007855AE"/>
    <w:rsid w:val="00791A90"/>
    <w:rsid w:val="00796503"/>
    <w:rsid w:val="007B0CB6"/>
    <w:rsid w:val="007B3099"/>
    <w:rsid w:val="007B4F2C"/>
    <w:rsid w:val="007D2BDA"/>
    <w:rsid w:val="007D56C8"/>
    <w:rsid w:val="007E3934"/>
    <w:rsid w:val="007E7303"/>
    <w:rsid w:val="008054C7"/>
    <w:rsid w:val="008212A0"/>
    <w:rsid w:val="008263D1"/>
    <w:rsid w:val="008306D5"/>
    <w:rsid w:val="00837F53"/>
    <w:rsid w:val="00862DDC"/>
    <w:rsid w:val="00871B32"/>
    <w:rsid w:val="008D1750"/>
    <w:rsid w:val="008D7800"/>
    <w:rsid w:val="008E2910"/>
    <w:rsid w:val="008E4913"/>
    <w:rsid w:val="00900464"/>
    <w:rsid w:val="0090100E"/>
    <w:rsid w:val="00912904"/>
    <w:rsid w:val="00922249"/>
    <w:rsid w:val="0093767E"/>
    <w:rsid w:val="00960BF7"/>
    <w:rsid w:val="00964ADC"/>
    <w:rsid w:val="00972A02"/>
    <w:rsid w:val="0099517C"/>
    <w:rsid w:val="009A0937"/>
    <w:rsid w:val="009A705D"/>
    <w:rsid w:val="009B2ECD"/>
    <w:rsid w:val="009B7914"/>
    <w:rsid w:val="009F430B"/>
    <w:rsid w:val="00A00E2B"/>
    <w:rsid w:val="00A160B2"/>
    <w:rsid w:val="00A16271"/>
    <w:rsid w:val="00A426B3"/>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C4F24"/>
    <w:rsid w:val="00BD6115"/>
    <w:rsid w:val="00BD684A"/>
    <w:rsid w:val="00C05E9C"/>
    <w:rsid w:val="00C32DAE"/>
    <w:rsid w:val="00C40E24"/>
    <w:rsid w:val="00C51C49"/>
    <w:rsid w:val="00C61B80"/>
    <w:rsid w:val="00C92D9A"/>
    <w:rsid w:val="00C96D0E"/>
    <w:rsid w:val="00C96EF5"/>
    <w:rsid w:val="00CA2A23"/>
    <w:rsid w:val="00CF1C4A"/>
    <w:rsid w:val="00D05750"/>
    <w:rsid w:val="00D25064"/>
    <w:rsid w:val="00D32B51"/>
    <w:rsid w:val="00D34668"/>
    <w:rsid w:val="00D3740E"/>
    <w:rsid w:val="00D40335"/>
    <w:rsid w:val="00D51303"/>
    <w:rsid w:val="00D54D7D"/>
    <w:rsid w:val="00D56DE2"/>
    <w:rsid w:val="00D82F57"/>
    <w:rsid w:val="00D841A5"/>
    <w:rsid w:val="00D914D2"/>
    <w:rsid w:val="00D92107"/>
    <w:rsid w:val="00DA25DB"/>
    <w:rsid w:val="00DB0791"/>
    <w:rsid w:val="00DB1C98"/>
    <w:rsid w:val="00DD4251"/>
    <w:rsid w:val="00E02B50"/>
    <w:rsid w:val="00E03F11"/>
    <w:rsid w:val="00E06DC8"/>
    <w:rsid w:val="00E117CE"/>
    <w:rsid w:val="00E16F4A"/>
    <w:rsid w:val="00E220B5"/>
    <w:rsid w:val="00E2344F"/>
    <w:rsid w:val="00E33D93"/>
    <w:rsid w:val="00E44C8E"/>
    <w:rsid w:val="00E609EF"/>
    <w:rsid w:val="00E8111D"/>
    <w:rsid w:val="00E8515B"/>
    <w:rsid w:val="00E90AFF"/>
    <w:rsid w:val="00E91D52"/>
    <w:rsid w:val="00EA0AE0"/>
    <w:rsid w:val="00EA182B"/>
    <w:rsid w:val="00EC70CD"/>
    <w:rsid w:val="00EF2F91"/>
    <w:rsid w:val="00F136E9"/>
    <w:rsid w:val="00F22AA0"/>
    <w:rsid w:val="00F33EE3"/>
    <w:rsid w:val="00F4213B"/>
    <w:rsid w:val="00F43D4F"/>
    <w:rsid w:val="00F44423"/>
    <w:rsid w:val="00F806B8"/>
    <w:rsid w:val="00F849ED"/>
    <w:rsid w:val="00F92398"/>
    <w:rsid w:val="00FD31A0"/>
    <w:rsid w:val="00FF2B1A"/>
    <w:rsid w:val="00FF677E"/>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2007-07-12T09:53:00Z</cp:lastPrinted>
  <dcterms:created xsi:type="dcterms:W3CDTF">2022-02-23T13:39:00Z</dcterms:created>
  <dcterms:modified xsi:type="dcterms:W3CDTF">2022-02-23T13:39:00Z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